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22872" w:rsidRPr="001F5B6D">
        <w:rPr>
          <w:rFonts w:cs="Arial"/>
          <w:sz w:val="28"/>
          <w:szCs w:val="28"/>
        </w:rPr>
        <w:t>Glückssäckchen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22872" w:rsidRPr="00CA4F42" w:rsidTr="00322872">
        <w:tc>
          <w:tcPr>
            <w:tcW w:w="2466" w:type="dxa"/>
            <w:vAlign w:val="center"/>
          </w:tcPr>
          <w:p w:rsidR="00322872" w:rsidRPr="00FE6928" w:rsidRDefault="00322872" w:rsidP="00E73945">
            <w:pPr>
              <w:pStyle w:val="IQB-Merkmal"/>
            </w:pPr>
            <w:r w:rsidRPr="00FE6928">
              <w:t>Leitidee</w:t>
            </w:r>
          </w:p>
        </w:tc>
        <w:tc>
          <w:tcPr>
            <w:tcW w:w="6604" w:type="dxa"/>
          </w:tcPr>
          <w:p w:rsidR="00322872" w:rsidRPr="00FE6928" w:rsidRDefault="00322872" w:rsidP="00E73945">
            <w:pPr>
              <w:pStyle w:val="IQB-Merkmalswert"/>
            </w:pPr>
            <w:r w:rsidRPr="00FE6928">
              <w:t>5. Daten und Zufall</w:t>
            </w:r>
          </w:p>
        </w:tc>
      </w:tr>
      <w:tr w:rsidR="00322872" w:rsidRPr="00CA4F42" w:rsidTr="00322872">
        <w:tc>
          <w:tcPr>
            <w:tcW w:w="2466" w:type="dxa"/>
            <w:vAlign w:val="center"/>
          </w:tcPr>
          <w:p w:rsidR="00322872" w:rsidRPr="00FE6928" w:rsidRDefault="00322872" w:rsidP="00E73945">
            <w:pPr>
              <w:pStyle w:val="IQB-Merkmal"/>
            </w:pPr>
            <w:r w:rsidRPr="00FE6928">
              <w:t>Allgemeine Kompetenzen</w:t>
            </w:r>
          </w:p>
        </w:tc>
        <w:tc>
          <w:tcPr>
            <w:tcW w:w="6604" w:type="dxa"/>
          </w:tcPr>
          <w:p w:rsidR="00322872" w:rsidRPr="00FE6928" w:rsidRDefault="00322872" w:rsidP="00E73945">
            <w:pPr>
              <w:pStyle w:val="IQB-Merkmalswert"/>
            </w:pPr>
            <w:r>
              <w:t>Mathematisch modellieren (K3)</w:t>
            </w:r>
          </w:p>
          <w:p w:rsidR="00322872" w:rsidRPr="00FE6928" w:rsidRDefault="00322872" w:rsidP="00E73945">
            <w:pPr>
              <w:pStyle w:val="IQB-Merkmalswert"/>
            </w:pPr>
            <w:r>
              <w:t>Mit symbolischen, formalen und technischen Elementen der Mathematik umg</w:t>
            </w:r>
            <w:r>
              <w:t>e</w:t>
            </w:r>
            <w:r>
              <w:t>hen (K5)</w:t>
            </w:r>
          </w:p>
        </w:tc>
      </w:tr>
      <w:tr w:rsidR="00322872" w:rsidRPr="00CA4F42" w:rsidTr="00322872">
        <w:tc>
          <w:tcPr>
            <w:tcW w:w="2466" w:type="dxa"/>
            <w:vAlign w:val="center"/>
          </w:tcPr>
          <w:p w:rsidR="00322872" w:rsidRPr="00FE6928" w:rsidRDefault="00322872" w:rsidP="00E73945">
            <w:pPr>
              <w:pStyle w:val="IQB-Merkmal"/>
            </w:pPr>
            <w:r w:rsidRPr="00FE6928">
              <w:t>Anforderungsbereich</w:t>
            </w:r>
          </w:p>
        </w:tc>
        <w:tc>
          <w:tcPr>
            <w:tcW w:w="6604" w:type="dxa"/>
          </w:tcPr>
          <w:p w:rsidR="00322872" w:rsidRPr="00FE6928" w:rsidRDefault="00322872" w:rsidP="00E73945">
            <w:pPr>
              <w:pStyle w:val="IQB-Merkmalswert"/>
            </w:pPr>
            <w:r w:rsidRPr="00FE6928">
              <w:t>II</w:t>
            </w:r>
          </w:p>
        </w:tc>
      </w:tr>
      <w:tr w:rsidR="00322872" w:rsidRPr="00CA4F42" w:rsidTr="00322872">
        <w:tc>
          <w:tcPr>
            <w:tcW w:w="2466" w:type="dxa"/>
            <w:vAlign w:val="center"/>
          </w:tcPr>
          <w:p w:rsidR="00322872" w:rsidRPr="00FE6928" w:rsidRDefault="00322872" w:rsidP="00E73945">
            <w:pPr>
              <w:pStyle w:val="IQB-Merkmal"/>
            </w:pPr>
            <w:r w:rsidRPr="00FE6928">
              <w:t>Kompetenzstufe</w:t>
            </w:r>
          </w:p>
        </w:tc>
        <w:tc>
          <w:tcPr>
            <w:tcW w:w="6604" w:type="dxa"/>
          </w:tcPr>
          <w:p w:rsidR="00322872" w:rsidRPr="00FE6928" w:rsidRDefault="00322872" w:rsidP="00E73945">
            <w:pPr>
              <w:pStyle w:val="IQB-Merkmalswert"/>
            </w:pPr>
            <w:r w:rsidRPr="00FE6928">
              <w:t>3</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22872" w:rsidRPr="00CA4F42" w:rsidTr="00322872">
        <w:tc>
          <w:tcPr>
            <w:tcW w:w="2466" w:type="dxa"/>
            <w:vAlign w:val="center"/>
          </w:tcPr>
          <w:p w:rsidR="00322872" w:rsidRPr="00FE6928" w:rsidRDefault="00322872" w:rsidP="00E73945">
            <w:pPr>
              <w:pStyle w:val="IQB-Merkmal"/>
            </w:pPr>
            <w:r w:rsidRPr="00FE6928">
              <w:t>Leitidee</w:t>
            </w:r>
          </w:p>
        </w:tc>
        <w:tc>
          <w:tcPr>
            <w:tcW w:w="6604" w:type="dxa"/>
          </w:tcPr>
          <w:p w:rsidR="00322872" w:rsidRPr="00FE6928" w:rsidRDefault="00322872" w:rsidP="00E73945">
            <w:pPr>
              <w:pStyle w:val="IQB-Merkmalswert"/>
            </w:pPr>
            <w:r w:rsidRPr="00FE6928">
              <w:t>5. Daten und Zufall</w:t>
            </w:r>
          </w:p>
        </w:tc>
      </w:tr>
      <w:tr w:rsidR="00322872" w:rsidRPr="00CA4F42" w:rsidTr="00322872">
        <w:tc>
          <w:tcPr>
            <w:tcW w:w="2466" w:type="dxa"/>
            <w:vAlign w:val="center"/>
          </w:tcPr>
          <w:p w:rsidR="00322872" w:rsidRPr="00FE6928" w:rsidRDefault="00322872" w:rsidP="00E73945">
            <w:pPr>
              <w:pStyle w:val="IQB-Merkmal"/>
            </w:pPr>
            <w:r w:rsidRPr="00FE6928">
              <w:t>Allgemeine Kompetenzen</w:t>
            </w:r>
          </w:p>
        </w:tc>
        <w:tc>
          <w:tcPr>
            <w:tcW w:w="6604" w:type="dxa"/>
          </w:tcPr>
          <w:p w:rsidR="00322872" w:rsidRPr="00FE6928" w:rsidRDefault="00322872" w:rsidP="00E73945">
            <w:pPr>
              <w:pStyle w:val="IQB-Merkmalswert"/>
            </w:pPr>
            <w:r>
              <w:t>Mathematisch modellieren (K3)</w:t>
            </w:r>
          </w:p>
          <w:p w:rsidR="00322872" w:rsidRPr="00FE6928" w:rsidRDefault="00322872" w:rsidP="00E73945">
            <w:pPr>
              <w:pStyle w:val="IQB-Merkmalswert"/>
            </w:pPr>
            <w:r>
              <w:t>Mit symbolischen, formalen und technischen Elementen der Mathematik umg</w:t>
            </w:r>
            <w:r>
              <w:t>e</w:t>
            </w:r>
            <w:r>
              <w:t>hen (K5)</w:t>
            </w:r>
          </w:p>
        </w:tc>
      </w:tr>
      <w:tr w:rsidR="00322872" w:rsidRPr="00CA4F42" w:rsidTr="00322872">
        <w:tc>
          <w:tcPr>
            <w:tcW w:w="2466" w:type="dxa"/>
            <w:vAlign w:val="center"/>
          </w:tcPr>
          <w:p w:rsidR="00322872" w:rsidRPr="00FE6928" w:rsidRDefault="00322872" w:rsidP="00E73945">
            <w:pPr>
              <w:pStyle w:val="IQB-Merkmal"/>
            </w:pPr>
            <w:r w:rsidRPr="00FE6928">
              <w:t>Anforderungsbereich</w:t>
            </w:r>
          </w:p>
        </w:tc>
        <w:tc>
          <w:tcPr>
            <w:tcW w:w="6604" w:type="dxa"/>
          </w:tcPr>
          <w:p w:rsidR="00322872" w:rsidRPr="00FE6928" w:rsidRDefault="00322872" w:rsidP="00E73945">
            <w:pPr>
              <w:pStyle w:val="IQB-Merkmalswert"/>
            </w:pPr>
            <w:r w:rsidRPr="00FE6928">
              <w:t>II</w:t>
            </w:r>
          </w:p>
        </w:tc>
      </w:tr>
      <w:tr w:rsidR="00322872" w:rsidRPr="00CA4F42" w:rsidTr="00322872">
        <w:tc>
          <w:tcPr>
            <w:tcW w:w="2466" w:type="dxa"/>
            <w:vAlign w:val="center"/>
          </w:tcPr>
          <w:p w:rsidR="00322872" w:rsidRPr="00FE6928" w:rsidRDefault="00322872" w:rsidP="00E73945">
            <w:pPr>
              <w:pStyle w:val="IQB-Merkmal"/>
            </w:pPr>
            <w:r w:rsidRPr="00FE6928">
              <w:t>Kompetenzstufe</w:t>
            </w:r>
          </w:p>
        </w:tc>
        <w:tc>
          <w:tcPr>
            <w:tcW w:w="6604" w:type="dxa"/>
          </w:tcPr>
          <w:p w:rsidR="00322872" w:rsidRPr="00FE6928" w:rsidRDefault="00322872" w:rsidP="00E73945">
            <w:pPr>
              <w:pStyle w:val="IQB-Merkmalswert"/>
            </w:pPr>
            <w:r w:rsidRPr="00FE6928">
              <w:t>4</w:t>
            </w:r>
          </w:p>
        </w:tc>
      </w:tr>
    </w:tbl>
    <w:p w:rsidR="00322872" w:rsidRPr="00694A63" w:rsidRDefault="00322872" w:rsidP="00322872">
      <w:pPr>
        <w:pStyle w:val="IQB-Teilaufgabentitel"/>
        <w:rPr>
          <w:b/>
        </w:rPr>
      </w:pPr>
      <w:r w:rsidRPr="00694A63">
        <w:rPr>
          <w:b/>
        </w:rPr>
        <w:t>Merkmal</w:t>
      </w:r>
      <w:r>
        <w:rPr>
          <w:b/>
        </w:rPr>
        <w:t xml:space="preserve">e der Teilaufgabe </w:t>
      </w:r>
      <w:r>
        <w:rPr>
          <w:b/>
        </w:rPr>
        <w:t>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22872" w:rsidRPr="00CA4F42" w:rsidTr="00322872">
        <w:tc>
          <w:tcPr>
            <w:tcW w:w="2466" w:type="dxa"/>
            <w:vAlign w:val="center"/>
          </w:tcPr>
          <w:p w:rsidR="00322872" w:rsidRPr="00FE6928" w:rsidRDefault="00322872" w:rsidP="00E73945">
            <w:pPr>
              <w:pStyle w:val="IQB-Merkmal"/>
            </w:pPr>
            <w:r w:rsidRPr="00FE6928">
              <w:t>Leitidee</w:t>
            </w:r>
          </w:p>
        </w:tc>
        <w:tc>
          <w:tcPr>
            <w:tcW w:w="6604" w:type="dxa"/>
          </w:tcPr>
          <w:p w:rsidR="00322872" w:rsidRPr="00FE6928" w:rsidRDefault="00322872" w:rsidP="00E73945">
            <w:pPr>
              <w:pStyle w:val="IQB-Merkmalswert"/>
            </w:pPr>
            <w:r w:rsidRPr="00FE6928">
              <w:t>5. Daten und Zufall</w:t>
            </w:r>
          </w:p>
        </w:tc>
      </w:tr>
      <w:tr w:rsidR="00322872" w:rsidRPr="00CA4F42" w:rsidTr="00322872">
        <w:tc>
          <w:tcPr>
            <w:tcW w:w="2466" w:type="dxa"/>
            <w:vAlign w:val="center"/>
          </w:tcPr>
          <w:p w:rsidR="00322872" w:rsidRPr="00FE6928" w:rsidRDefault="00322872" w:rsidP="00E73945">
            <w:pPr>
              <w:pStyle w:val="IQB-Merkmal"/>
            </w:pPr>
            <w:r w:rsidRPr="00FE6928">
              <w:t>Allgemeine Kompetenzen</w:t>
            </w:r>
          </w:p>
        </w:tc>
        <w:tc>
          <w:tcPr>
            <w:tcW w:w="6604" w:type="dxa"/>
          </w:tcPr>
          <w:p w:rsidR="00322872" w:rsidRPr="00FE6928" w:rsidRDefault="00322872" w:rsidP="00E73945">
            <w:pPr>
              <w:pStyle w:val="IQB-Merkmalswert"/>
            </w:pPr>
            <w:r>
              <w:t>Mathematisch argumentieren (K1)</w:t>
            </w:r>
          </w:p>
          <w:p w:rsidR="00322872" w:rsidRPr="00FE6928" w:rsidRDefault="00322872" w:rsidP="00E73945">
            <w:pPr>
              <w:pStyle w:val="IQB-Merkmalswert"/>
            </w:pPr>
            <w:r>
              <w:t>Probleme mathematisch lösen (K2)</w:t>
            </w:r>
          </w:p>
          <w:p w:rsidR="00322872" w:rsidRPr="00FE6928" w:rsidRDefault="00322872" w:rsidP="00E73945">
            <w:pPr>
              <w:pStyle w:val="IQB-Merkmalswert"/>
            </w:pPr>
            <w:r>
              <w:t>Mit symbolischen, formalen und technischen Elementen der Mathematik umg</w:t>
            </w:r>
            <w:r>
              <w:t>e</w:t>
            </w:r>
            <w:r>
              <w:t>hen (K5)</w:t>
            </w:r>
          </w:p>
          <w:p w:rsidR="00322872" w:rsidRPr="00FE6928" w:rsidRDefault="00322872" w:rsidP="00E73945">
            <w:pPr>
              <w:pStyle w:val="IQB-Merkmalswert"/>
            </w:pPr>
            <w:r>
              <w:t>Mathematisch kommunizieren (K6)</w:t>
            </w:r>
          </w:p>
        </w:tc>
      </w:tr>
      <w:tr w:rsidR="00322872" w:rsidRPr="00CA4F42" w:rsidTr="00322872">
        <w:tc>
          <w:tcPr>
            <w:tcW w:w="2466" w:type="dxa"/>
            <w:vAlign w:val="center"/>
          </w:tcPr>
          <w:p w:rsidR="00322872" w:rsidRPr="00FE6928" w:rsidRDefault="00322872" w:rsidP="00E73945">
            <w:pPr>
              <w:pStyle w:val="IQB-Merkmal"/>
            </w:pPr>
            <w:r w:rsidRPr="00FE6928">
              <w:t>Anforderungsbereich</w:t>
            </w:r>
          </w:p>
        </w:tc>
        <w:tc>
          <w:tcPr>
            <w:tcW w:w="6604" w:type="dxa"/>
          </w:tcPr>
          <w:p w:rsidR="00322872" w:rsidRPr="00FE6928" w:rsidRDefault="00322872" w:rsidP="00E73945">
            <w:pPr>
              <w:pStyle w:val="IQB-Merkmalswert"/>
            </w:pPr>
            <w:r w:rsidRPr="00FE6928">
              <w:t>III</w:t>
            </w:r>
          </w:p>
        </w:tc>
      </w:tr>
      <w:tr w:rsidR="00322872" w:rsidRPr="00CA4F42" w:rsidTr="00322872">
        <w:tc>
          <w:tcPr>
            <w:tcW w:w="2466" w:type="dxa"/>
            <w:vAlign w:val="center"/>
          </w:tcPr>
          <w:p w:rsidR="00322872" w:rsidRPr="00FE6928" w:rsidRDefault="00322872" w:rsidP="00E73945">
            <w:pPr>
              <w:pStyle w:val="IQB-Merkmal"/>
            </w:pPr>
            <w:r w:rsidRPr="00FE6928">
              <w:t>Kompetenzstufe</w:t>
            </w:r>
          </w:p>
        </w:tc>
        <w:tc>
          <w:tcPr>
            <w:tcW w:w="6604" w:type="dxa"/>
          </w:tcPr>
          <w:p w:rsidR="00322872" w:rsidRPr="00FE6928" w:rsidRDefault="00322872" w:rsidP="00E73945">
            <w:pPr>
              <w:pStyle w:val="IQB-Merkmalswert"/>
            </w:pPr>
            <w:r w:rsidRPr="00FE6928">
              <w:t>4</w:t>
            </w:r>
          </w:p>
        </w:tc>
      </w:tr>
    </w:tbl>
    <w:p w:rsidR="00694A63" w:rsidRPr="00694A63" w:rsidRDefault="00694A63" w:rsidP="00694A63">
      <w:pPr>
        <w:pStyle w:val="IQB-Teilaufgabentitel"/>
        <w:rPr>
          <w:b/>
        </w:rPr>
      </w:pPr>
      <w:r w:rsidRPr="00694A63">
        <w:rPr>
          <w:b/>
        </w:rPr>
        <w:t>Aufgabenbezogener Kommentar</w:t>
      </w:r>
    </w:p>
    <w:p w:rsidR="00322872" w:rsidRPr="00CA4F42" w:rsidRDefault="00322872" w:rsidP="00322872">
      <w:pPr>
        <w:pStyle w:val="IQB-AnweisungenText"/>
        <w:spacing w:before="0"/>
        <w:rPr>
          <w:rFonts w:ascii="Arial" w:hAnsi="Arial"/>
          <w:sz w:val="22"/>
          <w:szCs w:val="22"/>
        </w:rPr>
      </w:pPr>
      <w:r w:rsidRPr="00CA4F42">
        <w:rPr>
          <w:rFonts w:ascii="Arial" w:hAnsi="Arial"/>
          <w:sz w:val="22"/>
          <w:szCs w:val="22"/>
        </w:rPr>
        <w:t xml:space="preserve">Diese Aufgabe ist der </w:t>
      </w:r>
      <w:r w:rsidRPr="00AC3174">
        <w:rPr>
          <w:rFonts w:ascii="Arial" w:hAnsi="Arial"/>
          <w:sz w:val="22"/>
          <w:szCs w:val="22"/>
        </w:rPr>
        <w:t>Leitidee</w:t>
      </w:r>
      <w:r w:rsidRPr="00934AE1">
        <w:rPr>
          <w:rFonts w:ascii="Arial" w:hAnsi="Arial"/>
          <w:i/>
          <w:sz w:val="22"/>
          <w:szCs w:val="22"/>
        </w:rPr>
        <w:t xml:space="preserve"> Daten und Zufall</w:t>
      </w:r>
      <w:r w:rsidRPr="00CA4F42">
        <w:rPr>
          <w:rFonts w:ascii="Arial" w:hAnsi="Arial"/>
          <w:sz w:val="22"/>
          <w:szCs w:val="22"/>
        </w:rPr>
        <w:t xml:space="preserve"> (L5) zugeordnet, da Schülerinnen und Schüler Wahrscheinlichkeiten in Zufallsexperimenten bestimmen und beurteilen. </w:t>
      </w:r>
    </w:p>
    <w:p w:rsidR="00322872" w:rsidRPr="00CA4F42" w:rsidRDefault="00322872" w:rsidP="00322872">
      <w:pPr>
        <w:pStyle w:val="IQB-AnweisungenText"/>
        <w:rPr>
          <w:rFonts w:ascii="Arial" w:hAnsi="Arial"/>
          <w:sz w:val="22"/>
          <w:szCs w:val="22"/>
        </w:rPr>
      </w:pPr>
      <w:r w:rsidRPr="00CA4F42">
        <w:rPr>
          <w:rFonts w:ascii="Arial" w:hAnsi="Arial"/>
          <w:sz w:val="22"/>
          <w:szCs w:val="22"/>
        </w:rPr>
        <w:t xml:space="preserve">In beiden Teilaufgaben müssen einfache Routineverfahren zur Bestimmung der Wahrscheinlichkeit angewandt werden. Daher ist die Kompetenz </w:t>
      </w:r>
      <w:r>
        <w:rPr>
          <w:rFonts w:ascii="Arial" w:hAnsi="Arial"/>
          <w:i/>
          <w:sz w:val="22"/>
          <w:szCs w:val="22"/>
        </w:rPr>
        <w:t>Mit symbolischen, formalen und technischen Elementen der Mathematik umgehen</w:t>
      </w:r>
      <w:r w:rsidRPr="00CA4F42">
        <w:rPr>
          <w:rFonts w:ascii="Arial" w:hAnsi="Arial"/>
          <w:sz w:val="22"/>
          <w:szCs w:val="22"/>
        </w:rPr>
        <w:t xml:space="preserve"> (K5) erforderlich. </w:t>
      </w:r>
    </w:p>
    <w:p w:rsidR="00322872" w:rsidRPr="00CA4F42" w:rsidRDefault="00322872" w:rsidP="00322872">
      <w:pPr>
        <w:pStyle w:val="IQB-AnweisungenText"/>
        <w:rPr>
          <w:rFonts w:ascii="Arial" w:hAnsi="Arial"/>
          <w:sz w:val="22"/>
          <w:szCs w:val="22"/>
        </w:rPr>
      </w:pPr>
      <w:r w:rsidRPr="00CA4F42">
        <w:rPr>
          <w:rFonts w:ascii="Arial" w:hAnsi="Arial"/>
          <w:sz w:val="22"/>
          <w:szCs w:val="22"/>
        </w:rPr>
        <w:t xml:space="preserve">In der Aufgabe muss zudem zwischen der realen Situation des Zufallsexperiments und einer stochastischen Methode zur Bestimmung der Wahrscheinlichkeit hin- und her gewechselt und somit mathematisch modelliert (K3) werden. </w:t>
      </w:r>
    </w:p>
    <w:p w:rsidR="00322872" w:rsidRPr="00F93C3F" w:rsidRDefault="00322872" w:rsidP="00322872">
      <w:pPr>
        <w:pStyle w:val="IQB-AnweisungenText"/>
        <w:rPr>
          <w:rFonts w:ascii="Arial" w:hAnsi="Arial"/>
          <w:sz w:val="22"/>
          <w:szCs w:val="22"/>
        </w:rPr>
      </w:pPr>
      <w:r w:rsidRPr="00CA4F42">
        <w:rPr>
          <w:rFonts w:ascii="Arial" w:hAnsi="Arial"/>
          <w:sz w:val="22"/>
          <w:szCs w:val="22"/>
        </w:rPr>
        <w:t xml:space="preserve">Beide Teilaufgaben gehören in den Anforderungsbereich II, da es sich jeweils um mehrschrittige Prozesse zur Bestimmung von Wahrscheinlichkeiten handelt. </w:t>
      </w:r>
      <w:r>
        <w:rPr>
          <w:rFonts w:ascii="Arial" w:hAnsi="Arial"/>
          <w:sz w:val="22"/>
          <w:szCs w:val="22"/>
        </w:rPr>
        <w:t>Die weitere Teilaufgabe (nur in Testheft 2)</w:t>
      </w:r>
      <w:r w:rsidRPr="00F93C3F">
        <w:rPr>
          <w:rFonts w:ascii="Arial" w:hAnsi="Arial"/>
          <w:sz w:val="22"/>
          <w:szCs w:val="22"/>
        </w:rPr>
        <w:t xml:space="preserve"> wird dem Anforderungsbereich III zugeordnet, da Terme zur allgemeinen Berechnung von Wahrscheinlichkeiten in ähnlich gelagerten Situationen untersucht werden sollen.</w:t>
      </w:r>
    </w:p>
    <w:p w:rsidR="00694A63" w:rsidRPr="00694A63" w:rsidRDefault="00694A63" w:rsidP="00694A63">
      <w:pPr>
        <w:pStyle w:val="IQB-Teilaufgabentitel"/>
        <w:rPr>
          <w:b/>
        </w:rPr>
      </w:pPr>
      <w:r w:rsidRPr="00694A63">
        <w:rPr>
          <w:b/>
        </w:rPr>
        <w:t>Anregungen für den Unterricht</w:t>
      </w:r>
    </w:p>
    <w:p w:rsidR="00322872" w:rsidRPr="00CA4F42" w:rsidRDefault="00322872" w:rsidP="00322872">
      <w:pPr>
        <w:pStyle w:val="IQB-AnweisungenText"/>
        <w:spacing w:before="0" w:after="120"/>
        <w:rPr>
          <w:rFonts w:ascii="Arial" w:hAnsi="Arial"/>
          <w:sz w:val="22"/>
          <w:szCs w:val="22"/>
        </w:rPr>
      </w:pPr>
      <w:r w:rsidRPr="00CA4F42">
        <w:rPr>
          <w:rFonts w:ascii="Arial" w:hAnsi="Arial"/>
          <w:sz w:val="22"/>
          <w:szCs w:val="22"/>
        </w:rPr>
        <w:t>Anhand der folgenden Schülerlösungen zur Teilaufgabe 1 der Aufgabe „Glückssäckchen“</w:t>
      </w:r>
      <w:r w:rsidRPr="00823FBB">
        <w:rPr>
          <w:rFonts w:ascii="Arial" w:hAnsi="Arial"/>
          <w:sz w:val="22"/>
          <w:szCs w:val="22"/>
        </w:rPr>
        <w:t xml:space="preserve"> </w:t>
      </w:r>
      <w:r w:rsidRPr="003344A5">
        <w:rPr>
          <w:rFonts w:ascii="Arial" w:hAnsi="Arial"/>
          <w:sz w:val="22"/>
          <w:szCs w:val="22"/>
        </w:rPr>
        <w:t>in Abbildung 1</w:t>
      </w:r>
      <w:r w:rsidRPr="00CA4F42">
        <w:rPr>
          <w:rFonts w:ascii="Arial" w:hAnsi="Arial"/>
          <w:sz w:val="22"/>
          <w:szCs w:val="22"/>
        </w:rPr>
        <w:t xml:space="preserve"> soll illustriert werden, wie die Ergebnisse kompetenzorientiert ausgewertet und für einen kompetenzorientierten Unterricht nutzbar gemacht werden können. Bei beiden hier vorgestellten Schülerlösungen lassen sich sowohl Kompetenzen identifizieren, über die der Schüler bereits verfügt, als auch Kompetenzen, die es weiter auszubauen gilt.</w:t>
      </w:r>
    </w:p>
    <w:p w:rsidR="00322872" w:rsidRPr="00CA4F42" w:rsidRDefault="00322872" w:rsidP="00322872">
      <w:pPr>
        <w:pStyle w:val="IQB-AnweisungenText"/>
        <w:keepNext/>
        <w:rPr>
          <w:rFonts w:ascii="Arial" w:hAnsi="Arial"/>
          <w:sz w:val="22"/>
          <w:szCs w:val="22"/>
        </w:rPr>
      </w:pPr>
      <w:r w:rsidRPr="00CA4F42">
        <w:rPr>
          <w:rFonts w:ascii="Arial" w:hAnsi="Arial"/>
          <w:noProof/>
          <w:sz w:val="22"/>
          <w:szCs w:val="22"/>
        </w:rPr>
        <w:lastRenderedPageBreak/>
        <w:drawing>
          <wp:inline distT="0" distB="0" distL="0" distR="0">
            <wp:extent cx="4771390" cy="2444750"/>
            <wp:effectExtent l="19050" t="19050" r="10160" b="1270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71390" cy="2444750"/>
                    </a:xfrm>
                    <a:prstGeom prst="rect">
                      <a:avLst/>
                    </a:prstGeom>
                    <a:noFill/>
                    <a:ln w="6350" cmpd="sng">
                      <a:solidFill>
                        <a:srgbClr val="000000"/>
                      </a:solidFill>
                      <a:miter lim="800000"/>
                      <a:headEnd/>
                      <a:tailEnd/>
                    </a:ln>
                    <a:effectLst/>
                  </pic:spPr>
                </pic:pic>
              </a:graphicData>
            </a:graphic>
          </wp:inline>
        </w:drawing>
      </w:r>
    </w:p>
    <w:p w:rsidR="00322872" w:rsidRPr="009B58A8" w:rsidRDefault="00322872" w:rsidP="00322872">
      <w:pPr>
        <w:pStyle w:val="Beschriftung"/>
        <w:spacing w:before="80" w:after="120"/>
        <w:jc w:val="both"/>
        <w:rPr>
          <w:rFonts w:cs="Arial"/>
          <w:b w:val="0"/>
        </w:rPr>
      </w:pPr>
      <w:r w:rsidRPr="009B58A8">
        <w:rPr>
          <w:rFonts w:cs="Arial"/>
          <w:b w:val="0"/>
        </w:rPr>
        <w:t>Abbildung 1: Schülerlösung 1</w:t>
      </w:r>
    </w:p>
    <w:p w:rsidR="00322872" w:rsidRPr="00CA4F42" w:rsidRDefault="00322872" w:rsidP="00322872">
      <w:pPr>
        <w:pStyle w:val="IQB-AnweisungenText"/>
        <w:rPr>
          <w:rFonts w:ascii="Arial" w:hAnsi="Arial"/>
          <w:sz w:val="22"/>
          <w:szCs w:val="22"/>
        </w:rPr>
      </w:pPr>
      <w:r w:rsidRPr="00CA4F42">
        <w:rPr>
          <w:rFonts w:ascii="Arial" w:hAnsi="Arial"/>
          <w:sz w:val="22"/>
          <w:szCs w:val="22"/>
        </w:rPr>
        <w:t>Die Schülerin kreuzt die korrekte Antwort A an und bestimmt ebenso die Gewinnwahrscheinlichkeit im Säckchen A gemäß der gegeben Situation richtig. Es ist demnach davon auszugehen, dass die Schülerin bezogen auf Modelle zur Laplace-Wahrscheinlichkeit über Modellierungskompetenzen (K3) verfügt.</w:t>
      </w:r>
    </w:p>
    <w:p w:rsidR="00322872" w:rsidRPr="00CA4F42" w:rsidRDefault="00322872" w:rsidP="00322872">
      <w:pPr>
        <w:pStyle w:val="IQB-AnweisungenText"/>
        <w:rPr>
          <w:rFonts w:ascii="Arial" w:hAnsi="Arial"/>
          <w:sz w:val="22"/>
          <w:szCs w:val="22"/>
        </w:rPr>
      </w:pPr>
      <w:r w:rsidRPr="00CA4F42">
        <w:rPr>
          <w:rFonts w:ascii="Arial" w:hAnsi="Arial"/>
          <w:sz w:val="22"/>
          <w:szCs w:val="22"/>
        </w:rPr>
        <w:t>Von der Schülerin werden die Wahrscheinlichkeiten zu Säckchen B und C wie folgt angegeben: Im Zähler befindet sich die Anzahl an weißen Kugeln. Im Nenner befindet sich nun jedoch nicht die Gesamtzahl an Kugeln, sondern die Anzahl an schwarzen Kugeln. Verglichen mit der korrekt angegeben</w:t>
      </w:r>
      <w:r>
        <w:rPr>
          <w:rFonts w:ascii="Arial" w:hAnsi="Arial"/>
          <w:sz w:val="22"/>
          <w:szCs w:val="22"/>
        </w:rPr>
        <w:t>en</w:t>
      </w:r>
      <w:r w:rsidRPr="00CA4F42">
        <w:rPr>
          <w:rFonts w:ascii="Arial" w:hAnsi="Arial"/>
          <w:sz w:val="22"/>
          <w:szCs w:val="22"/>
        </w:rPr>
        <w:t xml:space="preserve"> Wahrscheinlichkeit bei Säckchen A müsste Säckchen A ihren Angaben gemäß dasjenige mit der geringsten Gewinnwahrscheinlichkeit sein. Offenbar hat die Schülerin Wahrscheinlichkeiten und Chancenverhältnisse zumindest beim Aufschreiben verwechselt. Die Kompetenz </w:t>
      </w:r>
      <w:r>
        <w:rPr>
          <w:rFonts w:ascii="Arial" w:hAnsi="Arial"/>
          <w:i/>
          <w:sz w:val="22"/>
          <w:szCs w:val="22"/>
        </w:rPr>
        <w:t>Mit symbolischen, formalen und technischen Elementen der Mathematik umgehen</w:t>
      </w:r>
      <w:r w:rsidRPr="00CA4F42">
        <w:rPr>
          <w:rFonts w:ascii="Arial" w:hAnsi="Arial"/>
          <w:sz w:val="22"/>
          <w:szCs w:val="22"/>
        </w:rPr>
        <w:t xml:space="preserve"> (K5) sollte in dieser Hinsicht weiter gefördert werden.</w:t>
      </w:r>
    </w:p>
    <w:p w:rsidR="00322872" w:rsidRPr="00CA4F42" w:rsidRDefault="00322872" w:rsidP="00322872">
      <w:pPr>
        <w:pStyle w:val="IQB-AnweisungenText"/>
        <w:rPr>
          <w:rFonts w:ascii="Arial" w:hAnsi="Arial"/>
          <w:sz w:val="22"/>
          <w:szCs w:val="22"/>
        </w:rPr>
      </w:pPr>
      <w:r w:rsidRPr="00CA4F42">
        <w:rPr>
          <w:rFonts w:ascii="Arial" w:hAnsi="Arial"/>
          <w:sz w:val="22"/>
          <w:szCs w:val="22"/>
        </w:rPr>
        <w:t>Auch in Schülerlösung 2 zur Teilaufgabe 1 wird deutlich, dass die Schülerin mit den realen Gegebenheiten korrekt umgehen kann</w:t>
      </w:r>
      <w:r>
        <w:rPr>
          <w:rFonts w:ascii="Arial" w:hAnsi="Arial"/>
          <w:sz w:val="22"/>
          <w:szCs w:val="22"/>
        </w:rPr>
        <w:t xml:space="preserve"> </w:t>
      </w:r>
      <w:r w:rsidRPr="00021DA5">
        <w:rPr>
          <w:rFonts w:ascii="Arial" w:hAnsi="Arial"/>
          <w:sz w:val="22"/>
          <w:szCs w:val="22"/>
        </w:rPr>
        <w:t>(siehe Abbildung 2)</w:t>
      </w:r>
      <w:r w:rsidRPr="00CA4F42">
        <w:rPr>
          <w:rFonts w:ascii="Arial" w:hAnsi="Arial"/>
          <w:sz w:val="22"/>
          <w:szCs w:val="22"/>
        </w:rPr>
        <w:t>. Die Schülerin verfügt bezogen auf einfache Zufallsexperimente über Modellierungskompetenzen (K3).</w:t>
      </w:r>
    </w:p>
    <w:p w:rsidR="00322872" w:rsidRPr="00CA4F42" w:rsidRDefault="00322872" w:rsidP="00322872">
      <w:pPr>
        <w:pStyle w:val="IQB-AnweisungenText"/>
        <w:keepNext/>
        <w:rPr>
          <w:rFonts w:ascii="Arial" w:hAnsi="Arial"/>
          <w:sz w:val="22"/>
          <w:szCs w:val="22"/>
        </w:rPr>
      </w:pPr>
      <w:r w:rsidRPr="00CA4F42">
        <w:rPr>
          <w:rFonts w:ascii="Arial" w:hAnsi="Arial"/>
          <w:noProof/>
          <w:sz w:val="22"/>
          <w:szCs w:val="22"/>
        </w:rPr>
        <w:drawing>
          <wp:inline distT="0" distB="0" distL="0" distR="0">
            <wp:extent cx="4861560" cy="2498725"/>
            <wp:effectExtent l="19050" t="19050" r="15240" b="158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61560" cy="2498725"/>
                    </a:xfrm>
                    <a:prstGeom prst="rect">
                      <a:avLst/>
                    </a:prstGeom>
                    <a:noFill/>
                    <a:ln w="6350" cmpd="sng">
                      <a:solidFill>
                        <a:srgbClr val="000000"/>
                      </a:solidFill>
                      <a:miter lim="800000"/>
                      <a:headEnd/>
                      <a:tailEnd/>
                    </a:ln>
                    <a:effectLst/>
                  </pic:spPr>
                </pic:pic>
              </a:graphicData>
            </a:graphic>
          </wp:inline>
        </w:drawing>
      </w:r>
    </w:p>
    <w:p w:rsidR="00322872" w:rsidRPr="00CA4F42" w:rsidRDefault="00322872" w:rsidP="00322872">
      <w:pPr>
        <w:pStyle w:val="Beschriftung"/>
        <w:spacing w:before="80" w:after="120"/>
        <w:jc w:val="both"/>
        <w:rPr>
          <w:rFonts w:cs="Arial"/>
        </w:rPr>
      </w:pPr>
      <w:r w:rsidRPr="009B58A8">
        <w:rPr>
          <w:rFonts w:cs="Arial"/>
          <w:b w:val="0"/>
        </w:rPr>
        <w:t>Abbildung 2: Schülerlösung 2</w:t>
      </w:r>
    </w:p>
    <w:p w:rsidR="00322872" w:rsidRPr="00CA4F42" w:rsidRDefault="00322872" w:rsidP="00322872">
      <w:pPr>
        <w:pStyle w:val="IQB-AnweisungenText"/>
        <w:rPr>
          <w:rFonts w:ascii="Arial" w:hAnsi="Arial"/>
          <w:sz w:val="22"/>
          <w:szCs w:val="22"/>
        </w:rPr>
      </w:pPr>
      <w:r w:rsidRPr="00CA4F42">
        <w:rPr>
          <w:rFonts w:ascii="Arial" w:hAnsi="Arial"/>
          <w:sz w:val="22"/>
          <w:szCs w:val="22"/>
        </w:rPr>
        <w:t xml:space="preserve">In ihrer Begründung argumentiert sie über Chancen, was im Rahmen dieser Aufgabe auch sinnvoll ist. Sie geht dabei jedoch nicht auf das dritte Glückssäckchen ein und formuliert so eine </w:t>
      </w:r>
      <w:r w:rsidRPr="00CA4F42">
        <w:rPr>
          <w:rFonts w:ascii="Arial" w:hAnsi="Arial"/>
          <w:sz w:val="22"/>
          <w:szCs w:val="22"/>
        </w:rPr>
        <w:lastRenderedPageBreak/>
        <w:t xml:space="preserve">unvollständige Argumentation. Die Überprüfung, ob eine Argumentation vollständig ist, kann als Metastrategie im Unterricht thematisiert werden, um so die Kompetenz </w:t>
      </w:r>
      <w:r>
        <w:rPr>
          <w:rFonts w:ascii="Arial" w:hAnsi="Arial"/>
          <w:i/>
          <w:sz w:val="22"/>
          <w:szCs w:val="22"/>
        </w:rPr>
        <w:t>Mathematisch argumentieren</w:t>
      </w:r>
      <w:r w:rsidRPr="00CA4F42">
        <w:rPr>
          <w:rFonts w:ascii="Arial" w:hAnsi="Arial"/>
          <w:sz w:val="22"/>
          <w:szCs w:val="22"/>
        </w:rPr>
        <w:t xml:space="preserve"> (K1) zu fördern.</w:t>
      </w:r>
    </w:p>
    <w:p w:rsidR="00322872" w:rsidRPr="00CA4F42" w:rsidRDefault="00322872" w:rsidP="00322872">
      <w:pPr>
        <w:pStyle w:val="IQB-AnweisungenText"/>
        <w:rPr>
          <w:rFonts w:ascii="Arial" w:hAnsi="Arial"/>
          <w:sz w:val="22"/>
          <w:szCs w:val="22"/>
        </w:rPr>
      </w:pPr>
      <w:r w:rsidRPr="00CA4F42">
        <w:rPr>
          <w:rFonts w:ascii="Arial" w:hAnsi="Arial"/>
          <w:sz w:val="22"/>
          <w:szCs w:val="22"/>
        </w:rPr>
        <w:t>Im Unterricht könnte Schülerlösung 2 thematisiert werden, um zum einen den Unterschied zwischen der mathematischen Notation von Chancen und Wahrschei</w:t>
      </w:r>
      <w:r>
        <w:rPr>
          <w:rFonts w:ascii="Arial" w:hAnsi="Arial"/>
          <w:sz w:val="22"/>
          <w:szCs w:val="22"/>
        </w:rPr>
        <w:t xml:space="preserve">nlichkeiten deutlich zu machen </w:t>
      </w:r>
      <w:r w:rsidRPr="00CA4F42">
        <w:rPr>
          <w:rFonts w:ascii="Arial" w:hAnsi="Arial"/>
          <w:sz w:val="22"/>
          <w:szCs w:val="22"/>
        </w:rPr>
        <w:t>und zum anderen, um deutlich zu machen, wann eine Argumentation vollständig ist.</w:t>
      </w:r>
    </w:p>
    <w:p w:rsidR="00694A63" w:rsidRPr="0037174F" w:rsidRDefault="00694A63" w:rsidP="00210F54">
      <w:pPr>
        <w:pStyle w:val="IQB-AnweisungenText"/>
        <w:spacing w:before="0" w:after="120"/>
        <w:rPr>
          <w:b/>
        </w:rPr>
      </w:pPr>
      <w:bookmarkStart w:id="0" w:name="_GoBack"/>
      <w:bookmarkEnd w:id="0"/>
    </w:p>
    <w:sectPr w:rsidR="00694A63" w:rsidRPr="0037174F"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586F62F6-ACF4-47AA-8EDB-B7F9735A18A7}"/>
    <w:embedBold r:id="rId2" w:fontKey="{093D62A3-9A98-4538-A3BA-6F39EA3A33D1}"/>
    <w:embedItalic r:id="rId3" w:fontKey="{479CC317-BDFB-4A5B-BB96-12BDC93C692A}"/>
    <w:embedBoldItalic r:id="rId4" w:fontKey="{51BA26B9-A23B-4F89-9C91-FB04506121E8}"/>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0F54"/>
    <w:rsid w:val="0021671D"/>
    <w:rsid w:val="00220FFD"/>
    <w:rsid w:val="002265B7"/>
    <w:rsid w:val="00226C04"/>
    <w:rsid w:val="00255EFD"/>
    <w:rsid w:val="0026784F"/>
    <w:rsid w:val="00274614"/>
    <w:rsid w:val="00296BA4"/>
    <w:rsid w:val="002D1B6E"/>
    <w:rsid w:val="002F756E"/>
    <w:rsid w:val="00304067"/>
    <w:rsid w:val="00304DCD"/>
    <w:rsid w:val="00322872"/>
    <w:rsid w:val="003375B2"/>
    <w:rsid w:val="0037174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C077E"/>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4:docId w14:val="0E072F67"/>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Hyperlink">
    <w:name w:val="Hyperlink"/>
    <w:uiPriority w:val="99"/>
    <w:unhideWhenUsed/>
    <w:rsid w:val="00DC077E"/>
    <w:rPr>
      <w:color w:val="0000FF"/>
      <w:u w:val="single"/>
    </w:rPr>
  </w:style>
  <w:style w:type="paragraph" w:styleId="Funotentext">
    <w:name w:val="footnote text"/>
    <w:basedOn w:val="Standard"/>
    <w:link w:val="FunotentextZchn"/>
    <w:rsid w:val="00DC077E"/>
    <w:rPr>
      <w:rFonts w:ascii="Arial" w:hAnsi="Arial"/>
      <w:sz w:val="20"/>
      <w:szCs w:val="20"/>
      <w:lang w:val="x-none" w:eastAsia="x-none"/>
    </w:rPr>
  </w:style>
  <w:style w:type="character" w:customStyle="1" w:styleId="FunotentextZchn">
    <w:name w:val="Fußnotentext Zchn"/>
    <w:basedOn w:val="Absatz-Standardschriftart"/>
    <w:link w:val="Funotentext"/>
    <w:rsid w:val="00DC077E"/>
    <w:rPr>
      <w:rFonts w:ascii="Arial" w:hAnsi="Arial"/>
      <w:lang w:val="x-none" w:eastAsia="x-none"/>
    </w:rPr>
  </w:style>
  <w:style w:type="character" w:styleId="Funotenzeichen">
    <w:name w:val="footnote reference"/>
    <w:rsid w:val="00DC07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E375C3-5C81-4B78-8438-6C099FFD90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533</Words>
  <Characters>3690</Characters>
  <Application>Microsoft Office Word</Application>
  <DocSecurity>0</DocSecurity>
  <Lines>92</Lines>
  <Paragraphs>63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2025-07-21T07:50:00Z</dcterms:created>
  <dcterms:modified xsi:type="dcterms:W3CDTF">2025-07-21T07:50:00Z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